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B48" w:rsidRPr="00D457A1" w:rsidRDefault="006E46DF" w:rsidP="006E46DF">
      <w:pPr>
        <w:jc w:val="right"/>
        <w:rPr>
          <w:bCs/>
          <w:i/>
          <w:iCs/>
        </w:rPr>
      </w:pPr>
      <w:r w:rsidRPr="00D457A1">
        <w:rPr>
          <w:bCs/>
          <w:i/>
          <w:iCs/>
        </w:rPr>
        <w:t>проект</w:t>
      </w:r>
    </w:p>
    <w:tbl>
      <w:tblPr>
        <w:tblW w:w="0" w:type="auto"/>
        <w:tblInd w:w="67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1B48" w:rsidRPr="00AE40F6" w:rsidTr="00781B48">
        <w:trPr>
          <w:trHeight w:val="1134"/>
        </w:trPr>
        <w:tc>
          <w:tcPr>
            <w:tcW w:w="4536" w:type="dxa"/>
          </w:tcPr>
          <w:p w:rsidR="00781B48" w:rsidRPr="00AE40F6" w:rsidRDefault="00781B48" w:rsidP="004F2C33">
            <w:pPr>
              <w:rPr>
                <w:b/>
                <w:color w:val="FFFFFF"/>
                <w:sz w:val="27"/>
                <w:szCs w:val="27"/>
              </w:rPr>
            </w:pPr>
            <w:r w:rsidRPr="00AE40F6">
              <w:rPr>
                <w:b/>
                <w:color w:val="FFFFFF"/>
                <w:sz w:val="27"/>
                <w:szCs w:val="27"/>
              </w:rPr>
              <w:t>ПАРАТ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</w:rPr>
              <w:t>РЕСПУБЛИКА ТАТАРСТАН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НИЖНЕКАМСКИЙ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ГОРОДСКОЙ СОВЕТ</w:t>
            </w:r>
          </w:p>
          <w:p w:rsidR="00781B48" w:rsidRPr="00AE40F6" w:rsidRDefault="00781B48" w:rsidP="004F2C33">
            <w:pPr>
              <w:ind w:left="-108" w:right="-108"/>
              <w:jc w:val="center"/>
              <w:rPr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left="-108" w:right="-108" w:hanging="848"/>
              <w:jc w:val="center"/>
              <w:rPr>
                <w:sz w:val="27"/>
                <w:szCs w:val="27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E40F6">
              <w:rPr>
                <w:sz w:val="15"/>
                <w:szCs w:val="15"/>
              </w:rPr>
              <w:t>г. Нижнекамск, 423570</w:t>
            </w:r>
            <w:r w:rsidRPr="00AE40F6">
              <w:rPr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781B48" w:rsidRPr="00AE40F6" w:rsidRDefault="00781B48" w:rsidP="004F2C33">
            <w:pPr>
              <w:ind w:left="-108"/>
              <w:jc w:val="center"/>
              <w:rPr>
                <w:sz w:val="27"/>
                <w:szCs w:val="27"/>
              </w:rPr>
            </w:pPr>
            <w:r w:rsidRPr="00AE40F6">
              <w:rPr>
                <w:noProof/>
                <w:sz w:val="27"/>
                <w:szCs w:val="27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1B48" w:rsidRPr="00AE40F6" w:rsidRDefault="00781B48" w:rsidP="004F2C33">
            <w:pPr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  <w:lang w:val="tt-RU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1B48" w:rsidRPr="00AE40F6" w:rsidRDefault="00781B48" w:rsidP="004F2C33">
            <w:pPr>
              <w:jc w:val="center"/>
              <w:rPr>
                <w:sz w:val="17"/>
                <w:szCs w:val="17"/>
              </w:rPr>
            </w:pPr>
            <w:r w:rsidRPr="00AE40F6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1B48" w:rsidRPr="00AE40F6" w:rsidRDefault="00781B48" w:rsidP="004F2C33">
            <w:pPr>
              <w:jc w:val="center"/>
              <w:rPr>
                <w:sz w:val="27"/>
                <w:szCs w:val="27"/>
              </w:rPr>
            </w:pPr>
          </w:p>
          <w:p w:rsidR="00781B48" w:rsidRPr="00AE40F6" w:rsidRDefault="00781B48" w:rsidP="004F2C33">
            <w:pPr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1B48" w:rsidRPr="00AE40F6" w:rsidTr="00781B48">
        <w:trPr>
          <w:trHeight w:val="68"/>
        </w:trPr>
        <w:tc>
          <w:tcPr>
            <w:tcW w:w="9639" w:type="dxa"/>
            <w:gridSpan w:val="4"/>
            <w:hideMark/>
          </w:tcPr>
          <w:p w:rsidR="00781B48" w:rsidRPr="00AE40F6" w:rsidRDefault="00781B48" w:rsidP="004F2C33">
            <w:pPr>
              <w:spacing w:after="40"/>
              <w:jc w:val="center"/>
              <w:rPr>
                <w:sz w:val="15"/>
                <w:szCs w:val="15"/>
                <w:lang w:val="tt-RU"/>
              </w:rPr>
            </w:pPr>
            <w:r w:rsidRPr="00AE40F6">
              <w:rPr>
                <w:sz w:val="15"/>
                <w:szCs w:val="15"/>
                <w:lang w:val="tt-RU"/>
              </w:rPr>
              <w:t xml:space="preserve">Тел./факс: (8555) 42-42-66.  </w:t>
            </w:r>
            <w:r w:rsidRPr="00AE40F6">
              <w:rPr>
                <w:sz w:val="15"/>
                <w:szCs w:val="15"/>
                <w:lang w:val="en-US"/>
              </w:rPr>
              <w:t>E</w:t>
            </w:r>
            <w:r w:rsidRPr="00AE40F6">
              <w:rPr>
                <w:sz w:val="15"/>
                <w:szCs w:val="15"/>
              </w:rPr>
              <w:t>-</w:t>
            </w:r>
            <w:r w:rsidRPr="00AE40F6">
              <w:rPr>
                <w:sz w:val="15"/>
                <w:szCs w:val="15"/>
                <w:lang w:val="en-US"/>
              </w:rPr>
              <w:t>mail</w:t>
            </w:r>
            <w:r w:rsidRPr="00AE40F6">
              <w:rPr>
                <w:sz w:val="15"/>
                <w:szCs w:val="15"/>
                <w:lang w:val="tt-RU"/>
              </w:rPr>
              <w:t xml:space="preserve">: </w:t>
            </w:r>
            <w:r w:rsidRPr="00AE40F6">
              <w:rPr>
                <w:sz w:val="15"/>
                <w:szCs w:val="15"/>
                <w:lang w:val="en-US"/>
              </w:rPr>
              <w:t>Gorsovet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Nk</w:t>
            </w:r>
            <w:r w:rsidRPr="00AE40F6">
              <w:rPr>
                <w:sz w:val="15"/>
                <w:szCs w:val="15"/>
              </w:rPr>
              <w:t>@</w:t>
            </w:r>
            <w:r w:rsidRPr="00AE40F6">
              <w:rPr>
                <w:sz w:val="15"/>
                <w:szCs w:val="15"/>
                <w:lang w:val="en-US"/>
              </w:rPr>
              <w:t>tatar</w:t>
            </w:r>
            <w:r w:rsidRPr="00AE40F6">
              <w:rPr>
                <w:sz w:val="15"/>
                <w:szCs w:val="15"/>
              </w:rPr>
              <w:t>.</w:t>
            </w:r>
            <w:r w:rsidRPr="00AE40F6">
              <w:rPr>
                <w:sz w:val="15"/>
                <w:szCs w:val="15"/>
                <w:lang w:val="en-US"/>
              </w:rPr>
              <w:t>ru</w:t>
            </w:r>
          </w:p>
        </w:tc>
      </w:tr>
      <w:tr w:rsidR="00781B48" w:rsidRPr="00AE40F6" w:rsidTr="00781B48">
        <w:trPr>
          <w:trHeight w:val="85"/>
        </w:trPr>
        <w:tc>
          <w:tcPr>
            <w:tcW w:w="5246" w:type="dxa"/>
            <w:gridSpan w:val="2"/>
          </w:tcPr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1B6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" strokecolor="#00b050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4FD5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" strokecolor="yellow"/>
                  </w:pict>
                </mc:Fallback>
              </mc:AlternateContent>
            </w:r>
            <w:r w:rsidRPr="00AE40F6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3BA34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" strokecolor="#365f91"/>
                  </w:pict>
                </mc:Fallback>
              </mc:AlternateContent>
            </w:r>
            <w:r w:rsidRPr="00AE40F6">
              <w:rPr>
                <w:sz w:val="27"/>
                <w:szCs w:val="27"/>
                <w:lang w:val="tt-RU"/>
              </w:rPr>
              <w:t xml:space="preserve">            </w:t>
            </w:r>
          </w:p>
          <w:p w:rsidR="00781B48" w:rsidRPr="00AE40F6" w:rsidRDefault="00781B48" w:rsidP="004F2C33">
            <w:pPr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781B48" w:rsidRPr="00AE40F6" w:rsidRDefault="00781B48" w:rsidP="004F2C33">
            <w:pPr>
              <w:rPr>
                <w:sz w:val="27"/>
                <w:szCs w:val="27"/>
                <w:lang w:val="tt-RU"/>
              </w:rPr>
            </w:pPr>
          </w:p>
          <w:p w:rsidR="00781B48" w:rsidRPr="00AE40F6" w:rsidRDefault="00092362" w:rsidP="00AE2986">
            <w:pPr>
              <w:rPr>
                <w:lang w:val="tt-RU"/>
              </w:rPr>
            </w:pPr>
            <w:r>
              <w:rPr>
                <w:lang w:val="tt-RU"/>
              </w:rPr>
              <w:t>_</w:t>
            </w:r>
            <w:bookmarkStart w:id="0" w:name="_GoBack"/>
            <w:bookmarkEnd w:id="0"/>
            <w:r w:rsidR="00DB36AD">
              <w:rPr>
                <w:lang w:val="tt-RU"/>
              </w:rPr>
              <w:t>июня</w:t>
            </w:r>
            <w:r w:rsidR="00781B48" w:rsidRPr="00AE40F6">
              <w:rPr>
                <w:lang w:val="tt-RU"/>
              </w:rPr>
              <w:t xml:space="preserve"> 202</w:t>
            </w:r>
            <w:r w:rsidR="002323D5">
              <w:rPr>
                <w:lang w:val="tt-RU"/>
              </w:rPr>
              <w:t>4</w:t>
            </w:r>
            <w:r w:rsidR="00781B48" w:rsidRPr="00AE40F6">
              <w:rPr>
                <w:lang w:val="tt-RU"/>
              </w:rPr>
              <w:t xml:space="preserve"> года № </w:t>
            </w:r>
            <w:r w:rsidR="005C1753">
              <w:rPr>
                <w:lang w:val="tt-RU"/>
              </w:rPr>
              <w:t>___</w:t>
            </w:r>
          </w:p>
        </w:tc>
        <w:tc>
          <w:tcPr>
            <w:tcW w:w="4393" w:type="dxa"/>
            <w:gridSpan w:val="2"/>
          </w:tcPr>
          <w:p w:rsidR="00781B48" w:rsidRPr="00AE40F6" w:rsidRDefault="00781B48" w:rsidP="004F2C33">
            <w:pPr>
              <w:jc w:val="both"/>
              <w:rPr>
                <w:b/>
                <w:sz w:val="27"/>
                <w:szCs w:val="27"/>
                <w:lang w:val="tt-RU"/>
              </w:rPr>
            </w:pPr>
          </w:p>
          <w:p w:rsidR="00781B48" w:rsidRPr="00AE40F6" w:rsidRDefault="00781B48" w:rsidP="004F2C33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AE40F6">
              <w:rPr>
                <w:b/>
                <w:sz w:val="27"/>
                <w:szCs w:val="27"/>
                <w:lang w:val="tt-RU"/>
              </w:rPr>
              <w:t xml:space="preserve">           </w:t>
            </w:r>
            <w:r w:rsidRPr="00AE40F6">
              <w:rPr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781B48" w:rsidRPr="00EF1285" w:rsidRDefault="00781B48" w:rsidP="00FB6DAE">
      <w:pPr>
        <w:jc w:val="center"/>
        <w:rPr>
          <w:b/>
          <w:sz w:val="27"/>
          <w:szCs w:val="27"/>
        </w:rPr>
      </w:pPr>
    </w:p>
    <w:p w:rsidR="0009763F" w:rsidRPr="006E46DF" w:rsidRDefault="00660295" w:rsidP="0066029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 xml:space="preserve">О внесении изменений </w:t>
      </w:r>
    </w:p>
    <w:p w:rsidR="00660295" w:rsidRPr="006E46DF" w:rsidRDefault="00660295" w:rsidP="00660295">
      <w:pPr>
        <w:pStyle w:val="a4"/>
        <w:rPr>
          <w:b w:val="0"/>
          <w:sz w:val="27"/>
          <w:szCs w:val="27"/>
        </w:rPr>
      </w:pPr>
      <w:r w:rsidRPr="006E46DF">
        <w:rPr>
          <w:b w:val="0"/>
          <w:sz w:val="27"/>
          <w:szCs w:val="27"/>
        </w:rPr>
        <w:t>в</w:t>
      </w:r>
      <w:r w:rsidR="0009763F" w:rsidRPr="006E46DF">
        <w:rPr>
          <w:b w:val="0"/>
          <w:sz w:val="27"/>
          <w:szCs w:val="27"/>
        </w:rPr>
        <w:t xml:space="preserve"> некоторые</w:t>
      </w:r>
      <w:r w:rsidRPr="006E46DF">
        <w:rPr>
          <w:b w:val="0"/>
          <w:sz w:val="27"/>
          <w:szCs w:val="27"/>
        </w:rPr>
        <w:t xml:space="preserve"> решени</w:t>
      </w:r>
      <w:r w:rsidR="0009763F" w:rsidRPr="006E46DF">
        <w:rPr>
          <w:b w:val="0"/>
          <w:sz w:val="27"/>
          <w:szCs w:val="27"/>
        </w:rPr>
        <w:t>я</w:t>
      </w:r>
      <w:r w:rsidRPr="006E46DF">
        <w:rPr>
          <w:b w:val="0"/>
          <w:sz w:val="27"/>
          <w:szCs w:val="27"/>
        </w:rPr>
        <w:t xml:space="preserve"> Нижнекамского городского Совета </w:t>
      </w:r>
    </w:p>
    <w:p w:rsidR="00660295" w:rsidRPr="006E46DF" w:rsidRDefault="00660295" w:rsidP="00660295">
      <w:pPr>
        <w:pStyle w:val="a4"/>
        <w:rPr>
          <w:b w:val="0"/>
          <w:sz w:val="27"/>
          <w:szCs w:val="27"/>
        </w:rPr>
      </w:pPr>
    </w:p>
    <w:p w:rsidR="00DB099B" w:rsidRPr="006E46DF" w:rsidRDefault="00682C08" w:rsidP="00281A2F">
      <w:pPr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 соответствии со статьей 136 Бюджетного кодекса Российской Федерации, статьей 22 Федерального закона от 2 марта 2007 года № 25-ФЗ «О муниципальной службе в Российской Федерации», статьей 44 Бюджетного кодекса Республики Татарстан, статьей 26 Кодекса Республики Татарстан о муниципальной службе, постановлением Кабинета Министров Республики Татарстан от 30 апреля 2024 года №</w:t>
      </w:r>
      <w:r w:rsidR="006E46DF" w:rsidRP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t>290 «О внесении изменений в постановление Кабинета Министров Республики Татарстан от 28</w:t>
      </w:r>
      <w:r w:rsidR="006E46DF" w:rsidRPr="006E46DF">
        <w:rPr>
          <w:sz w:val="27"/>
          <w:szCs w:val="27"/>
        </w:rPr>
        <w:t xml:space="preserve"> марта </w:t>
      </w:r>
      <w:r w:rsidRPr="006E46DF">
        <w:rPr>
          <w:sz w:val="27"/>
          <w:szCs w:val="27"/>
        </w:rPr>
        <w:t>2018</w:t>
      </w:r>
      <w:r w:rsidR="006E46DF" w:rsidRPr="006E46DF">
        <w:rPr>
          <w:sz w:val="27"/>
          <w:szCs w:val="27"/>
        </w:rPr>
        <w:t xml:space="preserve"> года</w:t>
      </w:r>
      <w:r w:rsidRPr="006E46DF">
        <w:rPr>
          <w:sz w:val="27"/>
          <w:szCs w:val="27"/>
        </w:rPr>
        <w:t xml:space="preserve">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DB099B" w:rsidRPr="006E46DF">
        <w:rPr>
          <w:sz w:val="27"/>
          <w:szCs w:val="27"/>
        </w:rPr>
        <w:t xml:space="preserve">, </w:t>
      </w:r>
      <w:r w:rsidR="002E308B" w:rsidRPr="006E46DF">
        <w:rPr>
          <w:sz w:val="27"/>
          <w:szCs w:val="27"/>
        </w:rPr>
        <w:t>постановлением Кабинета Министров Республики Татарстан от 29 апреля 2024 года № 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</w:t>
      </w:r>
      <w:r w:rsidR="006E46DF" w:rsidRPr="006E46DF">
        <w:rPr>
          <w:sz w:val="27"/>
          <w:szCs w:val="27"/>
        </w:rPr>
        <w:t xml:space="preserve"> марта </w:t>
      </w:r>
      <w:r w:rsidR="002E308B" w:rsidRPr="006E46DF">
        <w:rPr>
          <w:sz w:val="27"/>
          <w:szCs w:val="27"/>
        </w:rPr>
        <w:t>2018</w:t>
      </w:r>
      <w:r w:rsidR="006E46DF" w:rsidRPr="006E46DF">
        <w:rPr>
          <w:sz w:val="27"/>
          <w:szCs w:val="27"/>
        </w:rPr>
        <w:t xml:space="preserve"> года </w:t>
      </w:r>
      <w:r w:rsidR="002E308B" w:rsidRPr="006E46DF">
        <w:rPr>
          <w:sz w:val="27"/>
          <w:szCs w:val="27"/>
        </w:rPr>
        <w:t xml:space="preserve">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сферы», </w:t>
      </w:r>
      <w:r w:rsidR="00DB099B" w:rsidRPr="006E46DF">
        <w:rPr>
          <w:sz w:val="27"/>
          <w:szCs w:val="27"/>
        </w:rPr>
        <w:t>Нижнекамский городской Совет</w:t>
      </w:r>
    </w:p>
    <w:p w:rsidR="00DB099B" w:rsidRPr="006E46DF" w:rsidRDefault="00DB099B" w:rsidP="00DB099B">
      <w:pPr>
        <w:ind w:firstLine="709"/>
        <w:jc w:val="both"/>
        <w:rPr>
          <w:sz w:val="27"/>
          <w:szCs w:val="27"/>
          <w:lang w:val="tt-RU"/>
        </w:rPr>
      </w:pPr>
    </w:p>
    <w:p w:rsidR="00DB099B" w:rsidRPr="006E46DF" w:rsidRDefault="00DB099B" w:rsidP="00DB099B">
      <w:pPr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РЕШАЕТ:</w:t>
      </w:r>
    </w:p>
    <w:p w:rsidR="00DB099B" w:rsidRPr="006E46DF" w:rsidRDefault="00DB099B" w:rsidP="00DB099B">
      <w:pPr>
        <w:ind w:firstLine="709"/>
        <w:jc w:val="both"/>
        <w:rPr>
          <w:b/>
          <w:sz w:val="27"/>
          <w:szCs w:val="27"/>
        </w:rPr>
      </w:pPr>
    </w:p>
    <w:p w:rsidR="00DB099B" w:rsidRPr="006E46DF" w:rsidRDefault="00DB099B" w:rsidP="00DB099B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Внести в решение Нижнекамского городского С</w:t>
      </w:r>
      <w:r w:rsidR="00D46B96" w:rsidRPr="006E46DF">
        <w:rPr>
          <w:sz w:val="27"/>
          <w:szCs w:val="27"/>
        </w:rPr>
        <w:t xml:space="preserve">овета от 1 сентября 2021 года </w:t>
      </w:r>
      <w:r w:rsidR="006E46DF" w:rsidRPr="006E46DF">
        <w:rPr>
          <w:sz w:val="27"/>
          <w:szCs w:val="27"/>
        </w:rPr>
        <w:t xml:space="preserve">       </w:t>
      </w:r>
      <w:r w:rsidR="00D46B96" w:rsidRPr="006E46DF">
        <w:rPr>
          <w:sz w:val="27"/>
          <w:szCs w:val="27"/>
        </w:rPr>
        <w:t>№</w:t>
      </w:r>
      <w:r w:rsidR="006E46DF" w:rsidRP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t>39 «Об оплате труда работников муниципального образования город Нижнекамск» следующие изменения:</w:t>
      </w:r>
    </w:p>
    <w:p w:rsidR="00682C08" w:rsidRPr="006E46DF" w:rsidRDefault="00281A2F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1.1 </w:t>
      </w:r>
      <w:r w:rsidR="00682C08" w:rsidRPr="006E46DF">
        <w:rPr>
          <w:sz w:val="27"/>
          <w:szCs w:val="27"/>
        </w:rPr>
        <w:t>в пункте 2 цифры «12688» заменить цифрами «13323»;</w:t>
      </w:r>
    </w:p>
    <w:p w:rsidR="00281A2F" w:rsidRPr="006E46DF" w:rsidRDefault="00682C08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1.2 </w:t>
      </w:r>
      <w:r w:rsidR="00281A2F" w:rsidRPr="006E46DF">
        <w:rPr>
          <w:sz w:val="27"/>
          <w:szCs w:val="27"/>
        </w:rPr>
        <w:t>пункт 5 изложить в следующей редакции: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«5. Установить размер ежемесячной процентной надбавки к должностному окладу за работу со сведениями, имеющими степень секретности «особой важности» - 50 процентов, имеющими степень секретности «совершенно секретно» - 30 процентов, имеющими степень секретности «секретно» при оформлении допуска с проведением проверочных мероприятий - 10 процентов, без проведения проверочных мероприятий - 5 процентов.</w:t>
      </w:r>
    </w:p>
    <w:p w:rsidR="00281A2F" w:rsidRPr="006E46DF" w:rsidRDefault="001F7E20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Сотрудникам структурных подразделений по защите государственной тайны</w:t>
      </w:r>
      <w:r w:rsidR="006E46DF" w:rsidRPr="006E46DF">
        <w:rPr>
          <w:sz w:val="27"/>
          <w:szCs w:val="27"/>
        </w:rPr>
        <w:t>,</w:t>
      </w:r>
      <w:r w:rsidRPr="006E46DF">
        <w:rPr>
          <w:sz w:val="27"/>
          <w:szCs w:val="27"/>
        </w:rPr>
        <w:t xml:space="preserve"> осуществляющих функции режимно-секретного подразделения, </w:t>
      </w:r>
      <w:r w:rsidR="00281A2F" w:rsidRPr="006E46DF">
        <w:rPr>
          <w:sz w:val="27"/>
          <w:szCs w:val="27"/>
        </w:rPr>
        <w:t>дополнительно к ежемесячной процентной надбавке к должностному окладу, выплачивается процентная надбавка к должностному окладу за стаж работы в указанных структурных подразделениях.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lastRenderedPageBreak/>
        <w:t>Размер процентной надбавки к должностному окладу при стаже работы от 1 до 5 лет составляет 10 процентов, от 5 до 10 лет - 15 процентов, от 10 лет и выше - 20 процентов. 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организаций.»</w:t>
      </w:r>
      <w:r w:rsidR="005F422A" w:rsidRPr="006E46DF">
        <w:rPr>
          <w:sz w:val="27"/>
          <w:szCs w:val="27"/>
        </w:rPr>
        <w:t>;</w:t>
      </w:r>
    </w:p>
    <w:p w:rsidR="00682C08" w:rsidRPr="006E46DF" w:rsidRDefault="00281A2F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1.</w:t>
      </w:r>
      <w:r w:rsidR="00682C08" w:rsidRPr="006E46DF">
        <w:rPr>
          <w:sz w:val="27"/>
          <w:szCs w:val="27"/>
        </w:rPr>
        <w:t>3</w:t>
      </w:r>
      <w:r w:rsidRPr="006E46DF">
        <w:rPr>
          <w:sz w:val="27"/>
          <w:szCs w:val="27"/>
        </w:rPr>
        <w:t xml:space="preserve"> </w:t>
      </w:r>
      <w:r w:rsidR="00682C08" w:rsidRPr="006E46DF">
        <w:rPr>
          <w:sz w:val="27"/>
          <w:szCs w:val="27"/>
        </w:rPr>
        <w:t>приложение 1 изложить в новой редакции (прилагается);</w:t>
      </w:r>
    </w:p>
    <w:p w:rsidR="00C12117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1.4 </w:t>
      </w:r>
      <w:r w:rsidR="00C12117" w:rsidRPr="006E46DF">
        <w:rPr>
          <w:sz w:val="27"/>
          <w:szCs w:val="27"/>
        </w:rPr>
        <w:t>в приложении 2 цифры «1,26» заменить на цифры «1,41»</w:t>
      </w:r>
      <w:r w:rsidR="009B57F6" w:rsidRPr="006E46DF">
        <w:rPr>
          <w:sz w:val="27"/>
          <w:szCs w:val="27"/>
        </w:rPr>
        <w:t>, цифру «1» заменить на цифру «1,2»</w:t>
      </w:r>
      <w:r w:rsidR="00C12117" w:rsidRPr="006E46DF">
        <w:rPr>
          <w:sz w:val="27"/>
          <w:szCs w:val="27"/>
        </w:rPr>
        <w:t>;</w:t>
      </w:r>
    </w:p>
    <w:p w:rsidR="00682C08" w:rsidRPr="006E46DF" w:rsidRDefault="00C12117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1.5 </w:t>
      </w:r>
      <w:r w:rsidR="00682C08" w:rsidRPr="006E46DF">
        <w:rPr>
          <w:sz w:val="27"/>
          <w:szCs w:val="27"/>
        </w:rPr>
        <w:t>в приложении 14 слова «восемнадцати процентов» заменить словами «сорока одного процента»;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1.</w:t>
      </w:r>
      <w:r w:rsidR="00C12117" w:rsidRPr="006E46DF">
        <w:rPr>
          <w:sz w:val="27"/>
          <w:szCs w:val="27"/>
        </w:rPr>
        <w:t>6</w:t>
      </w:r>
      <w:r w:rsidRPr="006E46DF">
        <w:rPr>
          <w:sz w:val="27"/>
          <w:szCs w:val="27"/>
        </w:rPr>
        <w:t xml:space="preserve"> в приложение 22</w:t>
      </w:r>
      <w:r w:rsidR="00C12117" w:rsidRPr="006E46DF">
        <w:rPr>
          <w:sz w:val="27"/>
          <w:szCs w:val="27"/>
        </w:rPr>
        <w:t>: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 пункте 3 слова «(сложность, напряженность, высокие достижения в труде, специальный режим работы)» исключить;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 пункте 6 слова «восемнадцати процентов» заменить словами «сорока одного процента»;</w:t>
      </w:r>
    </w:p>
    <w:p w:rsidR="001F7E20" w:rsidRPr="006E46DF" w:rsidRDefault="001E2491" w:rsidP="001F7E20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1.</w:t>
      </w:r>
      <w:r w:rsidR="00C12117" w:rsidRPr="006E46DF">
        <w:rPr>
          <w:sz w:val="27"/>
          <w:szCs w:val="27"/>
        </w:rPr>
        <w:t>7</w:t>
      </w:r>
      <w:r w:rsidRPr="006E46DF">
        <w:rPr>
          <w:sz w:val="27"/>
          <w:szCs w:val="27"/>
        </w:rPr>
        <w:t xml:space="preserve"> </w:t>
      </w:r>
      <w:r w:rsidR="001F7E20" w:rsidRPr="006E46DF">
        <w:rPr>
          <w:sz w:val="27"/>
          <w:szCs w:val="27"/>
        </w:rPr>
        <w:t>абзац 2 пункта 2 приложения 24 изложить в следующей редакции:</w:t>
      </w:r>
    </w:p>
    <w:p w:rsidR="00281A2F" w:rsidRPr="006E46DF" w:rsidRDefault="001F7E20" w:rsidP="006E46D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«Необходимым условием для выплаты единовременного денежного поощрения является наличие у муниципального служащего стажа муниципальной службы 10 лет (стаж муниципальной службы исчисляется исключительно как время работы на территории Нижнекамского муниципального района на должностях муниципальной службы и муниципальных должностях в органах местного самоуправления Нижнекамского муниципального района и города Нижнекамска</w:t>
      </w:r>
      <w:r w:rsidR="006E46DF" w:rsidRPr="006E46DF">
        <w:rPr>
          <w:sz w:val="27"/>
          <w:szCs w:val="27"/>
        </w:rPr>
        <w:t>).</w:t>
      </w:r>
      <w:r w:rsidRPr="006E46DF">
        <w:rPr>
          <w:sz w:val="27"/>
          <w:szCs w:val="27"/>
        </w:rPr>
        <w:t>».</w:t>
      </w:r>
    </w:p>
    <w:p w:rsidR="00DB099B" w:rsidRPr="006E46DF" w:rsidRDefault="00DB099B" w:rsidP="00DB099B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Внести в решение Нижнекамского городского Совета от 1 сентября 2021 года №40 «Об оплате труда работников отдельных организаций бюджетной сферы города Нижнекамска, на которые не распространяется Единая тарифная сетка по оплате труда работников бюджетной сферы Республики Татарстан» следующие изменения:</w:t>
      </w:r>
    </w:p>
    <w:p w:rsidR="00682C08" w:rsidRPr="006E46DF" w:rsidRDefault="00281A2F" w:rsidP="00BF75CC">
      <w:pPr>
        <w:ind w:firstLine="700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2.</w:t>
      </w:r>
      <w:r w:rsidR="00700A8B" w:rsidRPr="006E46DF">
        <w:rPr>
          <w:sz w:val="27"/>
          <w:szCs w:val="27"/>
        </w:rPr>
        <w:t>1</w:t>
      </w:r>
      <w:r w:rsidRPr="006E46DF">
        <w:rPr>
          <w:sz w:val="27"/>
          <w:szCs w:val="27"/>
        </w:rPr>
        <w:t xml:space="preserve"> </w:t>
      </w:r>
      <w:r w:rsidR="00682C08" w:rsidRPr="006E46DF">
        <w:rPr>
          <w:sz w:val="27"/>
          <w:szCs w:val="27"/>
        </w:rPr>
        <w:t>в абзаце четвертом пункта 1 цифры «12688» заменить цифрами «13323»;</w:t>
      </w:r>
    </w:p>
    <w:p w:rsidR="002A7D0E" w:rsidRPr="006E46DF" w:rsidRDefault="002A7D0E" w:rsidP="002A7D0E">
      <w:pPr>
        <w:tabs>
          <w:tab w:val="left" w:pos="1080"/>
        </w:tabs>
        <w:ind w:firstLine="709"/>
        <w:jc w:val="both"/>
        <w:rPr>
          <w:sz w:val="27"/>
          <w:szCs w:val="27"/>
        </w:rPr>
      </w:pPr>
      <w:bookmarkStart w:id="1" w:name="_Hlk166595699"/>
      <w:r w:rsidRPr="006E46DF">
        <w:rPr>
          <w:sz w:val="27"/>
          <w:szCs w:val="27"/>
        </w:rPr>
        <w:t>2.2 в подпункте 3 пункта 3, подпункте 4 пункта 8 слова «15 процентов» заменить словами «37 процентов»;</w:t>
      </w:r>
    </w:p>
    <w:bookmarkEnd w:id="1"/>
    <w:p w:rsidR="00281A2F" w:rsidRPr="006E46DF" w:rsidRDefault="007C7F6A" w:rsidP="00BF75CC">
      <w:pPr>
        <w:ind w:firstLine="700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2.3 </w:t>
      </w:r>
      <w:r w:rsidR="00281A2F" w:rsidRPr="006E46DF">
        <w:rPr>
          <w:sz w:val="27"/>
          <w:szCs w:val="27"/>
        </w:rPr>
        <w:t xml:space="preserve">подпункт </w:t>
      </w:r>
      <w:r w:rsidR="002323D5" w:rsidRPr="006E46DF">
        <w:rPr>
          <w:sz w:val="27"/>
          <w:szCs w:val="27"/>
        </w:rPr>
        <w:t>6</w:t>
      </w:r>
      <w:r w:rsidR="00281A2F" w:rsidRPr="006E46DF">
        <w:rPr>
          <w:sz w:val="27"/>
          <w:szCs w:val="27"/>
        </w:rPr>
        <w:t xml:space="preserve"> пункта 3 дополнить предложением следующего содержания: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 xml:space="preserve">«Единовременная выплата относится к выплате социального характера и производится на основании личного заявления руководителей, специалистов, служащих, рабочих отдельных организаций, при предоставлении ежегодного оплачиваемого отпуска (не менее 14 календарных дней) один раз в текущем финансовом году, но не ранее чем через одиннадцать месяцев после приема его на работу. </w:t>
      </w:r>
      <w:r w:rsidR="001F7E20" w:rsidRPr="006E46DF">
        <w:rPr>
          <w:sz w:val="27"/>
          <w:szCs w:val="27"/>
        </w:rPr>
        <w:t>В указанный период времени включается трудовая деятельность на должностях в органах местного самоуправления города Нижнекамска и Нижнекамского муниципального района.»;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2.</w:t>
      </w:r>
      <w:r w:rsidR="007C7F6A" w:rsidRPr="006E46DF">
        <w:rPr>
          <w:sz w:val="27"/>
          <w:szCs w:val="27"/>
        </w:rPr>
        <w:t>4</w:t>
      </w:r>
      <w:r w:rsidRPr="006E46DF">
        <w:rPr>
          <w:sz w:val="27"/>
          <w:szCs w:val="27"/>
        </w:rPr>
        <w:t xml:space="preserve"> дополнить пунктом 6.1 следующего содержания: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«6.1 Установить руководителям, специалистам, служащим и рабочим отдельных организаций размер ежемесячной процентной надбавки к должностному окладу за работу со сведениями, имеющими степень секретности «особой важности» - 50 процентов, имеющими степень секретности «совершенно секретно» - 30 процентов, имеющими степень секретности «секретно» при оформлении допуска с проведением проверочных мероприятий - 10 процентов, без проведения проверочных мероприятий - 5 процентов.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Сотрудникам структурных подразделений по защите государственной тайны дополнительно к ежемесячной процентной надбавке к должностному окладу</w:t>
      </w:r>
      <w:r w:rsidR="006E46DF" w:rsidRP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lastRenderedPageBreak/>
        <w:t>выплачивается процентная надбавка к должностному окладу за стаж работы в указанных структурных подразделениях.</w:t>
      </w:r>
    </w:p>
    <w:p w:rsidR="00281A2F" w:rsidRPr="006E46DF" w:rsidRDefault="00281A2F" w:rsidP="00281A2F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Размер процентной надбавки к должностному окладу при стаже работы от 1 до 5 лет составляет 10 процентов, от 5 до 10 лет - 15 процентов, от 10 лет и выше - 20 процентов. 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организаций.»</w:t>
      </w:r>
      <w:r w:rsidR="006E46DF" w:rsidRPr="006E46DF">
        <w:rPr>
          <w:sz w:val="27"/>
          <w:szCs w:val="27"/>
        </w:rPr>
        <w:t>.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2.</w:t>
      </w:r>
      <w:r w:rsidR="007C7F6A" w:rsidRPr="006E46DF">
        <w:rPr>
          <w:sz w:val="27"/>
          <w:szCs w:val="27"/>
        </w:rPr>
        <w:t>5</w:t>
      </w:r>
      <w:r w:rsidRPr="006E46DF">
        <w:rPr>
          <w:sz w:val="27"/>
          <w:szCs w:val="27"/>
        </w:rPr>
        <w:t xml:space="preserve"> приложение 5 изложить в новой редакции (прилагается).</w:t>
      </w:r>
    </w:p>
    <w:p w:rsidR="007C7F6A" w:rsidRPr="006E46DF" w:rsidRDefault="007C7F6A" w:rsidP="007C7F6A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Настоящее решение вступает в силу с 1 июля 2024 года.</w:t>
      </w:r>
    </w:p>
    <w:p w:rsidR="00DB099B" w:rsidRPr="006E46DF" w:rsidRDefault="003D39F2" w:rsidP="00DB099B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Отделу по связи с общественностью и средствами массовой информации опубликовать настоящее решение в порядке, определенном Уставом города Нижнекамска, а также разместить на официальном сайте Нижнекамского муниципального района в информационно-телекоммуникационной сети Интернет.</w:t>
      </w:r>
    </w:p>
    <w:p w:rsidR="00281A2F" w:rsidRPr="006E46DF" w:rsidRDefault="00281A2F" w:rsidP="00281A2F">
      <w:pPr>
        <w:numPr>
          <w:ilvl w:val="0"/>
          <w:numId w:val="7"/>
        </w:numPr>
        <w:tabs>
          <w:tab w:val="left" w:pos="1080"/>
        </w:tabs>
        <w:ind w:left="0"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Контроль за исполнением настоящего решения возложить на постоянную комиссию по бюджетной политике и экономическому развитию Нижнекамского городского Совета.</w:t>
      </w:r>
    </w:p>
    <w:p w:rsidR="00A72924" w:rsidRPr="006E46DF" w:rsidRDefault="00A72924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CC5048" w:rsidRPr="006E46DF" w:rsidRDefault="00CC5048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B099B" w:rsidRPr="006E46DF" w:rsidRDefault="00DB099B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A72924" w:rsidRPr="006E46DF" w:rsidRDefault="00A72924" w:rsidP="00DB099B">
      <w:pPr>
        <w:pStyle w:val="ConsPlusTitle"/>
        <w:widowControl/>
        <w:ind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>Мэ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>р</w:t>
      </w: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города Нижнекамска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                      </w:t>
      </w:r>
      <w:r w:rsidR="00D46B96" w:rsidRPr="006E46DF">
        <w:rPr>
          <w:rFonts w:ascii="Times New Roman" w:hAnsi="Times New Roman" w:cs="Times New Roman"/>
          <w:b w:val="0"/>
          <w:sz w:val="27"/>
          <w:szCs w:val="27"/>
        </w:rPr>
        <w:t xml:space="preserve">    </w:t>
      </w:r>
      <w:r w:rsidR="006E46DF">
        <w:rPr>
          <w:rFonts w:ascii="Times New Roman" w:hAnsi="Times New Roman" w:cs="Times New Roman"/>
          <w:b w:val="0"/>
          <w:sz w:val="27"/>
          <w:szCs w:val="27"/>
        </w:rPr>
        <w:t xml:space="preserve">     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>Р.Х.</w:t>
      </w:r>
      <w:r w:rsidR="006E46DF" w:rsidRPr="006E46D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B099B" w:rsidRPr="006E46DF">
        <w:rPr>
          <w:rFonts w:ascii="Times New Roman" w:hAnsi="Times New Roman" w:cs="Times New Roman"/>
          <w:b w:val="0"/>
          <w:sz w:val="27"/>
          <w:szCs w:val="27"/>
        </w:rPr>
        <w:t>Муллин</w:t>
      </w:r>
    </w:p>
    <w:p w:rsidR="00A72924" w:rsidRPr="006E46DF" w:rsidRDefault="00A72924" w:rsidP="00A72924">
      <w:pPr>
        <w:pStyle w:val="ConsPlusTitle"/>
        <w:widowControl/>
        <w:ind w:left="567" w:right="282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              </w:t>
      </w:r>
      <w:r w:rsidR="00CC5048" w:rsidRPr="006E46DF">
        <w:rPr>
          <w:rFonts w:ascii="Times New Roman" w:hAnsi="Times New Roman" w:cs="Times New Roman"/>
          <w:b w:val="0"/>
          <w:sz w:val="27"/>
          <w:szCs w:val="27"/>
        </w:rPr>
        <w:t xml:space="preserve">                      </w:t>
      </w:r>
      <w:r w:rsidR="00F61C12" w:rsidRPr="006E46DF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501209" w:rsidRPr="006E46DF" w:rsidRDefault="00501209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60295" w:rsidRDefault="00660295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E1598" w:rsidRDefault="00FE1598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A0DB4" w:rsidRDefault="00DA0DB4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6E46DF" w:rsidRDefault="006E46DF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6E46DF" w:rsidRDefault="006E46DF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lastRenderedPageBreak/>
        <w:t>Приложение 1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к решению Нижнекамского городского Совета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от 01 сентября 2021 года № 40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 xml:space="preserve">(в редакции решения Нижнекамского городского Совета от </w:t>
      </w:r>
      <w:r w:rsidR="00DB36AD">
        <w:t>5 июня</w:t>
      </w:r>
      <w:r w:rsidRPr="006E46DF">
        <w:t xml:space="preserve"> 2024 года)</w:t>
      </w: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682C08">
      <w:pPr>
        <w:jc w:val="center"/>
        <w:rPr>
          <w:sz w:val="27"/>
          <w:szCs w:val="27"/>
        </w:rPr>
      </w:pPr>
      <w:r w:rsidRPr="006E46DF">
        <w:rPr>
          <w:sz w:val="27"/>
          <w:szCs w:val="27"/>
        </w:rPr>
        <w:t xml:space="preserve">Размеры денежного вознаграждения лиц, замещающих муниципальные </w:t>
      </w:r>
    </w:p>
    <w:p w:rsidR="00682C08" w:rsidRPr="006E46DF" w:rsidRDefault="00682C08" w:rsidP="00682C08">
      <w:pPr>
        <w:jc w:val="center"/>
        <w:rPr>
          <w:sz w:val="27"/>
          <w:szCs w:val="27"/>
        </w:rPr>
      </w:pPr>
      <w:r w:rsidRPr="006E46DF">
        <w:rPr>
          <w:sz w:val="27"/>
          <w:szCs w:val="27"/>
        </w:rPr>
        <w:t>должности на постоянной основе</w:t>
      </w:r>
    </w:p>
    <w:p w:rsidR="00682C08" w:rsidRPr="006E46DF" w:rsidRDefault="00682C08" w:rsidP="00682C08">
      <w:pPr>
        <w:jc w:val="both"/>
        <w:rPr>
          <w:sz w:val="27"/>
          <w:szCs w:val="27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237"/>
        <w:gridCol w:w="3261"/>
      </w:tblGrid>
      <w:tr w:rsidR="00682C08" w:rsidRPr="006E46DF" w:rsidTr="008847CD">
        <w:trPr>
          <w:trHeight w:val="65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№ п/п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Группа по оплате труда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(в зависимости от численности населения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муниципального образования)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4 группа</w:t>
            </w:r>
          </w:p>
        </w:tc>
      </w:tr>
      <w:tr w:rsidR="00682C08" w:rsidRPr="006E46DF" w:rsidTr="008847CD">
        <w:trPr>
          <w:trHeight w:val="65"/>
        </w:trPr>
        <w:tc>
          <w:tcPr>
            <w:tcW w:w="704" w:type="dxa"/>
            <w:vMerge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7"/>
                <w:szCs w:val="27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sz w:val="27"/>
                <w:szCs w:val="27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от 100 до 250 </w:t>
            </w:r>
          </w:p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тыс. человек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9E0D1B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37 037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 xml:space="preserve">Заместитель </w:t>
            </w:r>
            <w:r w:rsidR="006E46DF" w:rsidRPr="006E46DF">
              <w:rPr>
                <w:sz w:val="27"/>
                <w:szCs w:val="27"/>
              </w:rPr>
              <w:t>М</w:t>
            </w:r>
            <w:r w:rsidRPr="006E46DF">
              <w:rPr>
                <w:sz w:val="27"/>
                <w:szCs w:val="27"/>
              </w:rPr>
              <w:t>эра города Нижнекамска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9E0D1B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FF0000"/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33 331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Депутат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9E0D1B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17 950</w:t>
            </w:r>
          </w:p>
        </w:tc>
      </w:tr>
      <w:tr w:rsidR="00682C08" w:rsidRPr="006E46DF" w:rsidTr="008847CD">
        <w:tc>
          <w:tcPr>
            <w:tcW w:w="704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82C08" w:rsidRPr="006E46DF" w:rsidRDefault="00682C08" w:rsidP="008847C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Член выборных органов местного самоуправления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682C08" w:rsidRPr="006E46DF" w:rsidRDefault="009E0D1B" w:rsidP="008847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7"/>
                <w:szCs w:val="27"/>
              </w:rPr>
            </w:pPr>
            <w:r w:rsidRPr="006E46DF">
              <w:rPr>
                <w:sz w:val="27"/>
                <w:szCs w:val="27"/>
              </w:rPr>
              <w:t>15 256</w:t>
            </w:r>
          </w:p>
        </w:tc>
      </w:tr>
    </w:tbl>
    <w:p w:rsidR="00682C08" w:rsidRPr="006E46DF" w:rsidRDefault="00682C08" w:rsidP="00682C08">
      <w:pPr>
        <w:jc w:val="both"/>
        <w:rPr>
          <w:b/>
          <w:sz w:val="27"/>
          <w:szCs w:val="27"/>
        </w:rPr>
      </w:pPr>
    </w:p>
    <w:p w:rsidR="00682C08" w:rsidRPr="006E46DF" w:rsidRDefault="00682C08" w:rsidP="00682C08">
      <w:pPr>
        <w:ind w:firstLine="709"/>
        <w:rPr>
          <w:rStyle w:val="af"/>
          <w:b w:val="0"/>
          <w:bCs w:val="0"/>
          <w:color w:val="000000"/>
          <w:sz w:val="27"/>
          <w:szCs w:val="27"/>
        </w:rPr>
      </w:pPr>
    </w:p>
    <w:p w:rsidR="00682C08" w:rsidRPr="006E46DF" w:rsidRDefault="00682C08" w:rsidP="006E46DF">
      <w:pPr>
        <w:rPr>
          <w:rStyle w:val="af"/>
          <w:b w:val="0"/>
          <w:bCs w:val="0"/>
          <w:color w:val="000000"/>
          <w:sz w:val="27"/>
          <w:szCs w:val="27"/>
        </w:rPr>
      </w:pPr>
    </w:p>
    <w:p w:rsidR="00682C08" w:rsidRPr="006E46DF" w:rsidRDefault="00682C08" w:rsidP="00682C08">
      <w:pPr>
        <w:jc w:val="both"/>
        <w:rPr>
          <w:sz w:val="27"/>
          <w:szCs w:val="27"/>
        </w:rPr>
      </w:pPr>
      <w:bookmarkStart w:id="2" w:name="_Hlk167438699"/>
      <w:r w:rsidRPr="006E46DF">
        <w:rPr>
          <w:sz w:val="27"/>
          <w:szCs w:val="27"/>
        </w:rPr>
        <w:t>Заместитель Мэра</w:t>
      </w:r>
    </w:p>
    <w:p w:rsidR="00682C08" w:rsidRPr="006E46DF" w:rsidRDefault="00682C08" w:rsidP="00682C08">
      <w:pPr>
        <w:jc w:val="both"/>
        <w:rPr>
          <w:sz w:val="27"/>
          <w:szCs w:val="27"/>
        </w:rPr>
      </w:pPr>
      <w:r w:rsidRPr="006E46DF">
        <w:rPr>
          <w:sz w:val="27"/>
          <w:szCs w:val="27"/>
        </w:rPr>
        <w:t>города Нижнекамска</w:t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  <w:t xml:space="preserve">                                            </w:t>
      </w:r>
      <w:r w:rsidR="00C12117" w:rsidRPr="006E46DF">
        <w:rPr>
          <w:sz w:val="27"/>
          <w:szCs w:val="27"/>
        </w:rPr>
        <w:t xml:space="preserve">                </w:t>
      </w:r>
      <w:r w:rsidR="006E46DF">
        <w:rPr>
          <w:sz w:val="27"/>
          <w:szCs w:val="27"/>
        </w:rPr>
        <w:t xml:space="preserve">     </w:t>
      </w:r>
      <w:r w:rsidRPr="006E46DF">
        <w:rPr>
          <w:sz w:val="27"/>
          <w:szCs w:val="27"/>
        </w:rPr>
        <w:t>М.В.</w:t>
      </w:r>
      <w:r w:rsidR="006E46DF" w:rsidRPr="006E46DF">
        <w:rPr>
          <w:sz w:val="27"/>
          <w:szCs w:val="27"/>
        </w:rPr>
        <w:t xml:space="preserve"> </w:t>
      </w:r>
      <w:r w:rsidRPr="006E46DF">
        <w:rPr>
          <w:sz w:val="27"/>
          <w:szCs w:val="27"/>
        </w:rPr>
        <w:t>Камелина</w:t>
      </w:r>
    </w:p>
    <w:bookmarkEnd w:id="2"/>
    <w:p w:rsidR="00682C08" w:rsidRPr="006E46DF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Default="00682C08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E46DF" w:rsidRDefault="006E46DF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E46DF" w:rsidRDefault="006E46DF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9E0D1B" w:rsidRDefault="009E0D1B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E46DF" w:rsidRDefault="006E46DF" w:rsidP="00682C08">
      <w:pPr>
        <w:tabs>
          <w:tab w:val="left" w:pos="1080"/>
        </w:tabs>
        <w:ind w:left="6946"/>
        <w:jc w:val="both"/>
        <w:rPr>
          <w:sz w:val="27"/>
          <w:szCs w:val="27"/>
        </w:rPr>
      </w:pP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lastRenderedPageBreak/>
        <w:t>Приложение 5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к решению Нижнекамского городского Совета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>от 01 сентября 2021 года № 40</w:t>
      </w:r>
    </w:p>
    <w:p w:rsidR="00682C08" w:rsidRPr="006E46DF" w:rsidRDefault="00682C08" w:rsidP="00DB36AD">
      <w:pPr>
        <w:tabs>
          <w:tab w:val="left" w:pos="1080"/>
        </w:tabs>
        <w:ind w:left="6946"/>
      </w:pPr>
      <w:r w:rsidRPr="006E46DF">
        <w:t xml:space="preserve">(в редакции решения Нижнекамского городского Совета от </w:t>
      </w:r>
      <w:r w:rsidR="00DB36AD">
        <w:t>5 июня</w:t>
      </w:r>
      <w:r w:rsidRPr="006E46DF">
        <w:t xml:space="preserve"> 2024 года)</w:t>
      </w:r>
    </w:p>
    <w:p w:rsidR="00682C08" w:rsidRPr="00281A2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</w:p>
    <w:p w:rsidR="00682C08" w:rsidRPr="006E46DF" w:rsidRDefault="00682C08" w:rsidP="00682C08">
      <w:pPr>
        <w:tabs>
          <w:tab w:val="left" w:pos="1080"/>
        </w:tabs>
        <w:ind w:firstLine="709"/>
        <w:jc w:val="center"/>
        <w:rPr>
          <w:sz w:val="27"/>
          <w:szCs w:val="27"/>
        </w:rPr>
      </w:pPr>
      <w:r w:rsidRPr="006E46DF">
        <w:rPr>
          <w:sz w:val="27"/>
          <w:szCs w:val="27"/>
        </w:rPr>
        <w:t xml:space="preserve">Порядок </w:t>
      </w:r>
    </w:p>
    <w:p w:rsidR="00682C08" w:rsidRPr="006E46DF" w:rsidRDefault="00682C08" w:rsidP="00682C08">
      <w:pPr>
        <w:tabs>
          <w:tab w:val="left" w:pos="1080"/>
        </w:tabs>
        <w:ind w:firstLine="709"/>
        <w:jc w:val="center"/>
        <w:rPr>
          <w:sz w:val="27"/>
          <w:szCs w:val="27"/>
        </w:rPr>
      </w:pPr>
      <w:r w:rsidRPr="006E46DF">
        <w:rPr>
          <w:sz w:val="27"/>
          <w:szCs w:val="27"/>
        </w:rPr>
        <w:t>установления ежемесячной надбавки за наличие государственных наград, нагрудных или почетных знаков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1. Основанием для установления надбавки является наличие у руководителей, специалистов, служащих, рабочих отдельных организаций почетного звания Республики Татарстан, подтвержденного соответствующим документом. Надбавка устанавливается в размере 25% должностного оклада.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2. Основанием для установления надбавки к должностному окладу за наличие государственных наград установленных Законом Республики Татарстан от 10 октября 2011 года № 74-ЗРТ «О государственных наградах Республики Татар стан», ведомственного нагрудного или почетного знака Российской Федерации, ведомственного нагрудного или почетного знака Республики Татарстан является наличие у руководителей, специалистов, служащих, рабочих отдельных организаций соответственной государственной награды, ведомственного нагрудного или почетного знака, подтвержденного соответствующим документом. Надбавка устанавливается в размере 25% должностного оклада.</w:t>
      </w:r>
    </w:p>
    <w:p w:rsidR="00682C08" w:rsidRPr="006E46DF" w:rsidRDefault="00682C08" w:rsidP="00682C0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6E46DF">
        <w:rPr>
          <w:sz w:val="27"/>
          <w:szCs w:val="27"/>
        </w:rPr>
        <w:t>3. Надбавка лицу, имеющему право на ее получение по нескольким основаниям, устанавливается по одному основанию по его выбору.</w:t>
      </w: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6E46DF">
      <w:pPr>
        <w:pStyle w:val="ConsPlusTitle"/>
        <w:widowControl/>
        <w:ind w:right="282"/>
        <w:jc w:val="both"/>
        <w:rPr>
          <w:sz w:val="27"/>
          <w:szCs w:val="27"/>
        </w:rPr>
      </w:pPr>
    </w:p>
    <w:p w:rsidR="006E46DF" w:rsidRPr="006E46DF" w:rsidRDefault="006E46DF" w:rsidP="006E46DF">
      <w:pPr>
        <w:jc w:val="both"/>
        <w:rPr>
          <w:sz w:val="27"/>
          <w:szCs w:val="27"/>
        </w:rPr>
      </w:pPr>
      <w:r w:rsidRPr="006E46DF">
        <w:rPr>
          <w:sz w:val="27"/>
          <w:szCs w:val="27"/>
        </w:rPr>
        <w:t>Заместитель Мэра</w:t>
      </w:r>
    </w:p>
    <w:p w:rsidR="006E46DF" w:rsidRPr="006E46DF" w:rsidRDefault="006E46DF" w:rsidP="006E46DF">
      <w:pPr>
        <w:jc w:val="both"/>
        <w:rPr>
          <w:sz w:val="27"/>
          <w:szCs w:val="27"/>
        </w:rPr>
      </w:pPr>
      <w:r w:rsidRPr="006E46DF">
        <w:rPr>
          <w:sz w:val="27"/>
          <w:szCs w:val="27"/>
        </w:rPr>
        <w:t>города Нижнекамска</w:t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</w:r>
      <w:r w:rsidRPr="006E46DF">
        <w:rPr>
          <w:sz w:val="27"/>
          <w:szCs w:val="27"/>
        </w:rPr>
        <w:tab/>
        <w:t xml:space="preserve">                                                            </w:t>
      </w:r>
      <w:r>
        <w:rPr>
          <w:sz w:val="27"/>
          <w:szCs w:val="27"/>
        </w:rPr>
        <w:t xml:space="preserve">     </w:t>
      </w:r>
      <w:r w:rsidRPr="006E46DF">
        <w:rPr>
          <w:sz w:val="27"/>
          <w:szCs w:val="27"/>
        </w:rPr>
        <w:t>М.В. Камелина</w:t>
      </w:r>
    </w:p>
    <w:p w:rsidR="00682C08" w:rsidRPr="006E46DF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Pr="006E46DF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sz w:val="27"/>
          <w:szCs w:val="27"/>
        </w:rPr>
      </w:pPr>
    </w:p>
    <w:p w:rsidR="00682C08" w:rsidRDefault="00682C08" w:rsidP="005C1753">
      <w:pPr>
        <w:pStyle w:val="ConsPlusTitle"/>
        <w:widowControl/>
        <w:ind w:left="567" w:right="282" w:firstLine="567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sectPr w:rsidR="00682C08" w:rsidSect="00747311">
      <w:footerReference w:type="default" r:id="rId9"/>
      <w:pgSz w:w="11906" w:h="16838"/>
      <w:pgMar w:top="568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70F33" w:rsidRDefault="00B70F33" w:rsidP="00747311">
      <w:r>
        <w:separator/>
      </w:r>
    </w:p>
  </w:endnote>
  <w:endnote w:type="continuationSeparator" w:id="0">
    <w:p w:rsidR="00B70F33" w:rsidRDefault="00B70F33" w:rsidP="0074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47311" w:rsidRDefault="00747311" w:rsidP="00F61C12">
    <w:pPr>
      <w:pStyle w:val="a7"/>
    </w:pPr>
  </w:p>
  <w:p w:rsidR="00747311" w:rsidRDefault="007473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70F33" w:rsidRDefault="00B70F33" w:rsidP="00747311">
      <w:r>
        <w:separator/>
      </w:r>
    </w:p>
  </w:footnote>
  <w:footnote w:type="continuationSeparator" w:id="0">
    <w:p w:rsidR="00B70F33" w:rsidRDefault="00B70F33" w:rsidP="0074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966E6F"/>
    <w:multiLevelType w:val="multilevel"/>
    <w:tmpl w:val="C9543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5C1F"/>
    <w:multiLevelType w:val="hybridMultilevel"/>
    <w:tmpl w:val="297CEF16"/>
    <w:lvl w:ilvl="0" w:tplc="DD9A1D0A">
      <w:start w:val="1"/>
      <w:numFmt w:val="decimal"/>
      <w:lvlText w:val="%1."/>
      <w:lvlJc w:val="left"/>
      <w:pPr>
        <w:ind w:left="1296" w:hanging="87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62EB0"/>
    <w:multiLevelType w:val="hybridMultilevel"/>
    <w:tmpl w:val="2154F056"/>
    <w:lvl w:ilvl="0" w:tplc="34865820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F0"/>
    <w:rsid w:val="00010C2B"/>
    <w:rsid w:val="00023F63"/>
    <w:rsid w:val="000377B2"/>
    <w:rsid w:val="00047FF1"/>
    <w:rsid w:val="00051E7A"/>
    <w:rsid w:val="0005320E"/>
    <w:rsid w:val="000672EB"/>
    <w:rsid w:val="00081350"/>
    <w:rsid w:val="00091B8E"/>
    <w:rsid w:val="00092362"/>
    <w:rsid w:val="0009763F"/>
    <w:rsid w:val="000A2869"/>
    <w:rsid w:val="000A4296"/>
    <w:rsid w:val="000D0410"/>
    <w:rsid w:val="000D7F54"/>
    <w:rsid w:val="000E00D8"/>
    <w:rsid w:val="000F760E"/>
    <w:rsid w:val="001345F5"/>
    <w:rsid w:val="0014404B"/>
    <w:rsid w:val="00156F73"/>
    <w:rsid w:val="00170BF9"/>
    <w:rsid w:val="001A3831"/>
    <w:rsid w:val="001C7AD7"/>
    <w:rsid w:val="001E2491"/>
    <w:rsid w:val="001E6FC4"/>
    <w:rsid w:val="001F71DF"/>
    <w:rsid w:val="001F7E20"/>
    <w:rsid w:val="00207FE9"/>
    <w:rsid w:val="002323D5"/>
    <w:rsid w:val="00265DA7"/>
    <w:rsid w:val="00267824"/>
    <w:rsid w:val="00281A2F"/>
    <w:rsid w:val="002A7D0E"/>
    <w:rsid w:val="002B1590"/>
    <w:rsid w:val="002E308B"/>
    <w:rsid w:val="002E4ADA"/>
    <w:rsid w:val="002F4B37"/>
    <w:rsid w:val="002F51B3"/>
    <w:rsid w:val="00317380"/>
    <w:rsid w:val="00333332"/>
    <w:rsid w:val="00357469"/>
    <w:rsid w:val="00362F7E"/>
    <w:rsid w:val="0039150D"/>
    <w:rsid w:val="003955D8"/>
    <w:rsid w:val="003A0AEF"/>
    <w:rsid w:val="003A325B"/>
    <w:rsid w:val="003C6D7E"/>
    <w:rsid w:val="003D39F2"/>
    <w:rsid w:val="003F522E"/>
    <w:rsid w:val="00402A1D"/>
    <w:rsid w:val="00442191"/>
    <w:rsid w:val="00444B7B"/>
    <w:rsid w:val="004532FE"/>
    <w:rsid w:val="00475055"/>
    <w:rsid w:val="00485514"/>
    <w:rsid w:val="004900B0"/>
    <w:rsid w:val="00491A3B"/>
    <w:rsid w:val="004A2235"/>
    <w:rsid w:val="004C10AF"/>
    <w:rsid w:val="004D563F"/>
    <w:rsid w:val="004F00B0"/>
    <w:rsid w:val="00501209"/>
    <w:rsid w:val="00505B7D"/>
    <w:rsid w:val="00510452"/>
    <w:rsid w:val="005242FC"/>
    <w:rsid w:val="00571642"/>
    <w:rsid w:val="005749EF"/>
    <w:rsid w:val="005906F3"/>
    <w:rsid w:val="0059137F"/>
    <w:rsid w:val="005975EE"/>
    <w:rsid w:val="005C0A56"/>
    <w:rsid w:val="005C1753"/>
    <w:rsid w:val="005D09F8"/>
    <w:rsid w:val="005D7600"/>
    <w:rsid w:val="005F422A"/>
    <w:rsid w:val="005F6701"/>
    <w:rsid w:val="00600C37"/>
    <w:rsid w:val="006032EB"/>
    <w:rsid w:val="006206E1"/>
    <w:rsid w:val="00624EC2"/>
    <w:rsid w:val="0063170A"/>
    <w:rsid w:val="0063434B"/>
    <w:rsid w:val="006377A0"/>
    <w:rsid w:val="006433F5"/>
    <w:rsid w:val="00644B59"/>
    <w:rsid w:val="006477C4"/>
    <w:rsid w:val="00660295"/>
    <w:rsid w:val="00676F5B"/>
    <w:rsid w:val="00682C08"/>
    <w:rsid w:val="00686A1F"/>
    <w:rsid w:val="006A0D8A"/>
    <w:rsid w:val="006A2E22"/>
    <w:rsid w:val="006A5B87"/>
    <w:rsid w:val="006A640C"/>
    <w:rsid w:val="006B55A0"/>
    <w:rsid w:val="006C4E8F"/>
    <w:rsid w:val="006C7288"/>
    <w:rsid w:val="006D45C4"/>
    <w:rsid w:val="006D7EC9"/>
    <w:rsid w:val="006E3C23"/>
    <w:rsid w:val="006E46DF"/>
    <w:rsid w:val="006E5422"/>
    <w:rsid w:val="006F1A66"/>
    <w:rsid w:val="006F2524"/>
    <w:rsid w:val="00700A8B"/>
    <w:rsid w:val="00720227"/>
    <w:rsid w:val="00731DAA"/>
    <w:rsid w:val="007355A6"/>
    <w:rsid w:val="007458C4"/>
    <w:rsid w:val="00745954"/>
    <w:rsid w:val="00747311"/>
    <w:rsid w:val="0075024C"/>
    <w:rsid w:val="00753018"/>
    <w:rsid w:val="00763854"/>
    <w:rsid w:val="00771B82"/>
    <w:rsid w:val="00781B48"/>
    <w:rsid w:val="00783984"/>
    <w:rsid w:val="0079139F"/>
    <w:rsid w:val="00793243"/>
    <w:rsid w:val="007A71B8"/>
    <w:rsid w:val="007B12FC"/>
    <w:rsid w:val="007C3B35"/>
    <w:rsid w:val="007C7F6A"/>
    <w:rsid w:val="007D4BCA"/>
    <w:rsid w:val="007D635C"/>
    <w:rsid w:val="007F6659"/>
    <w:rsid w:val="00817775"/>
    <w:rsid w:val="00823E95"/>
    <w:rsid w:val="00836930"/>
    <w:rsid w:val="0086186C"/>
    <w:rsid w:val="008841F7"/>
    <w:rsid w:val="00892EE1"/>
    <w:rsid w:val="008945F6"/>
    <w:rsid w:val="008D1DE2"/>
    <w:rsid w:val="00915039"/>
    <w:rsid w:val="009216E8"/>
    <w:rsid w:val="00926491"/>
    <w:rsid w:val="00941CEB"/>
    <w:rsid w:val="009444F5"/>
    <w:rsid w:val="00944C94"/>
    <w:rsid w:val="0095472B"/>
    <w:rsid w:val="00984528"/>
    <w:rsid w:val="009B55C6"/>
    <w:rsid w:val="009B55E3"/>
    <w:rsid w:val="009B57F6"/>
    <w:rsid w:val="009D3BFF"/>
    <w:rsid w:val="009E0D1B"/>
    <w:rsid w:val="009E0F8E"/>
    <w:rsid w:val="009F141C"/>
    <w:rsid w:val="00A05A85"/>
    <w:rsid w:val="00A11161"/>
    <w:rsid w:val="00A1354A"/>
    <w:rsid w:val="00A26BC8"/>
    <w:rsid w:val="00A56247"/>
    <w:rsid w:val="00A72924"/>
    <w:rsid w:val="00A87AFC"/>
    <w:rsid w:val="00AA191C"/>
    <w:rsid w:val="00AA50CD"/>
    <w:rsid w:val="00AC5CE5"/>
    <w:rsid w:val="00AD3C91"/>
    <w:rsid w:val="00AE107F"/>
    <w:rsid w:val="00AE2986"/>
    <w:rsid w:val="00B343E9"/>
    <w:rsid w:val="00B412A2"/>
    <w:rsid w:val="00B6100D"/>
    <w:rsid w:val="00B70F33"/>
    <w:rsid w:val="00B83E1B"/>
    <w:rsid w:val="00B95227"/>
    <w:rsid w:val="00BD4946"/>
    <w:rsid w:val="00BF75CC"/>
    <w:rsid w:val="00C12117"/>
    <w:rsid w:val="00C34D49"/>
    <w:rsid w:val="00C3736E"/>
    <w:rsid w:val="00C64227"/>
    <w:rsid w:val="00C740DA"/>
    <w:rsid w:val="00C963A2"/>
    <w:rsid w:val="00CA0322"/>
    <w:rsid w:val="00CA6C74"/>
    <w:rsid w:val="00CA7000"/>
    <w:rsid w:val="00CB5408"/>
    <w:rsid w:val="00CC5048"/>
    <w:rsid w:val="00CD5679"/>
    <w:rsid w:val="00CE5F01"/>
    <w:rsid w:val="00CF1BC4"/>
    <w:rsid w:val="00D02BDC"/>
    <w:rsid w:val="00D066F0"/>
    <w:rsid w:val="00D103C9"/>
    <w:rsid w:val="00D2072B"/>
    <w:rsid w:val="00D457A1"/>
    <w:rsid w:val="00D46B96"/>
    <w:rsid w:val="00D51194"/>
    <w:rsid w:val="00D56357"/>
    <w:rsid w:val="00D929BF"/>
    <w:rsid w:val="00D9687C"/>
    <w:rsid w:val="00DA0DB4"/>
    <w:rsid w:val="00DA3F95"/>
    <w:rsid w:val="00DB099B"/>
    <w:rsid w:val="00DB36AD"/>
    <w:rsid w:val="00DB7C46"/>
    <w:rsid w:val="00DC11DA"/>
    <w:rsid w:val="00DC474C"/>
    <w:rsid w:val="00DC695C"/>
    <w:rsid w:val="00DD21BD"/>
    <w:rsid w:val="00DD2BAE"/>
    <w:rsid w:val="00DE23A1"/>
    <w:rsid w:val="00DE46EB"/>
    <w:rsid w:val="00DF42BA"/>
    <w:rsid w:val="00E02421"/>
    <w:rsid w:val="00E20F22"/>
    <w:rsid w:val="00E26C36"/>
    <w:rsid w:val="00E4724E"/>
    <w:rsid w:val="00E553D0"/>
    <w:rsid w:val="00E75079"/>
    <w:rsid w:val="00E76021"/>
    <w:rsid w:val="00E8667B"/>
    <w:rsid w:val="00E94479"/>
    <w:rsid w:val="00E94D49"/>
    <w:rsid w:val="00E95ADF"/>
    <w:rsid w:val="00EA3F27"/>
    <w:rsid w:val="00EA7D6B"/>
    <w:rsid w:val="00ED6B9E"/>
    <w:rsid w:val="00EF1285"/>
    <w:rsid w:val="00EF3E14"/>
    <w:rsid w:val="00EF5438"/>
    <w:rsid w:val="00F03707"/>
    <w:rsid w:val="00F06796"/>
    <w:rsid w:val="00F173DB"/>
    <w:rsid w:val="00F61C12"/>
    <w:rsid w:val="00F646E3"/>
    <w:rsid w:val="00F6701F"/>
    <w:rsid w:val="00FA1A9A"/>
    <w:rsid w:val="00FB6DAE"/>
    <w:rsid w:val="00FC2828"/>
    <w:rsid w:val="00FD1741"/>
    <w:rsid w:val="00FE1598"/>
    <w:rsid w:val="00FE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C4C4E"/>
  <w15:docId w15:val="{E1AA826F-BB47-453C-9D4B-807352AF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qFormat/>
    <w:rsid w:val="00CA700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D06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CA7000"/>
    <w:pPr>
      <w:jc w:val="center"/>
    </w:pPr>
    <w:rPr>
      <w:b/>
      <w:szCs w:val="20"/>
    </w:rPr>
  </w:style>
  <w:style w:type="paragraph" w:styleId="2">
    <w:name w:val="Body Text 2"/>
    <w:basedOn w:val="a"/>
    <w:rsid w:val="00CA7000"/>
    <w:pPr>
      <w:jc w:val="both"/>
    </w:pPr>
    <w:rPr>
      <w:b/>
      <w:szCs w:val="20"/>
    </w:rPr>
  </w:style>
  <w:style w:type="paragraph" w:styleId="a5">
    <w:name w:val="Normal (Web)"/>
    <w:basedOn w:val="a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CD567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8">
    <w:name w:val="Нижний колонтитул Знак"/>
    <w:basedOn w:val="a0"/>
    <w:link w:val="a7"/>
    <w:uiPriority w:val="99"/>
    <w:rsid w:val="00333332"/>
    <w:rPr>
      <w:rFonts w:eastAsia="SimSun"/>
      <w:sz w:val="24"/>
      <w:szCs w:val="24"/>
      <w:lang w:eastAsia="zh-CN"/>
    </w:rPr>
  </w:style>
  <w:style w:type="character" w:styleId="a9">
    <w:name w:val="page number"/>
    <w:basedOn w:val="a0"/>
    <w:rsid w:val="00333332"/>
  </w:style>
  <w:style w:type="paragraph" w:styleId="aa">
    <w:name w:val="header"/>
    <w:basedOn w:val="a"/>
    <w:link w:val="ab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b">
    <w:name w:val="Верхний колонтитул Знак"/>
    <w:basedOn w:val="a0"/>
    <w:link w:val="aa"/>
    <w:rsid w:val="00333332"/>
    <w:rPr>
      <w:rFonts w:eastAsia="SimSun"/>
      <w:sz w:val="24"/>
      <w:szCs w:val="24"/>
      <w:lang w:eastAsia="zh-CN"/>
    </w:rPr>
  </w:style>
  <w:style w:type="paragraph" w:styleId="ac">
    <w:name w:val="Document Map"/>
    <w:basedOn w:val="a"/>
    <w:link w:val="ad"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d">
    <w:name w:val="Схема документа Знак"/>
    <w:basedOn w:val="a0"/>
    <w:link w:val="ac"/>
    <w:rsid w:val="00333332"/>
    <w:rPr>
      <w:rFonts w:ascii="Tahoma" w:eastAsia="SimSun" w:hAnsi="Tahoma" w:cs="Tahoma"/>
      <w:sz w:val="24"/>
      <w:szCs w:val="24"/>
      <w:shd w:val="clear" w:color="auto" w:fill="000080"/>
      <w:lang w:eastAsia="zh-CN"/>
    </w:rPr>
  </w:style>
  <w:style w:type="paragraph" w:styleId="ae">
    <w:name w:val="List Paragraph"/>
    <w:basedOn w:val="a"/>
    <w:uiPriority w:val="34"/>
    <w:qFormat/>
    <w:rsid w:val="00624EC2"/>
    <w:pPr>
      <w:ind w:left="720"/>
      <w:contextualSpacing/>
    </w:pPr>
  </w:style>
  <w:style w:type="character" w:customStyle="1" w:styleId="af">
    <w:name w:val="Цветовое выделение"/>
    <w:rsid w:val="00475055"/>
    <w:rPr>
      <w:b/>
      <w:bCs/>
      <w:color w:val="000080"/>
      <w:sz w:val="22"/>
      <w:szCs w:val="22"/>
    </w:rPr>
  </w:style>
  <w:style w:type="character" w:customStyle="1" w:styleId="Bodytext">
    <w:name w:val="Body text_"/>
    <w:link w:val="30"/>
    <w:locked/>
    <w:rsid w:val="00F03707"/>
    <w:rPr>
      <w:spacing w:val="5"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Bodytext"/>
    <w:rsid w:val="00F03707"/>
    <w:pPr>
      <w:widowControl w:val="0"/>
      <w:shd w:val="clear" w:color="auto" w:fill="FFFFFF"/>
      <w:spacing w:line="288" w:lineRule="exact"/>
      <w:jc w:val="both"/>
    </w:pPr>
    <w:rPr>
      <w:spacing w:val="5"/>
      <w:sz w:val="23"/>
      <w:szCs w:val="23"/>
    </w:rPr>
  </w:style>
  <w:style w:type="character" w:customStyle="1" w:styleId="20">
    <w:name w:val="Основной текст2"/>
    <w:rsid w:val="00F03707"/>
    <w:rPr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1B84-0804-483B-B622-7CE64808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21</cp:revision>
  <cp:lastPrinted>2024-05-22T09:55:00Z</cp:lastPrinted>
  <dcterms:created xsi:type="dcterms:W3CDTF">2024-04-03T05:17:00Z</dcterms:created>
  <dcterms:modified xsi:type="dcterms:W3CDTF">2024-05-31T05:38:00Z</dcterms:modified>
</cp:coreProperties>
</file>